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40"/>
        <w:rPr>
          <w:rFonts w:hint="default" w:ascii="ＭＳ 明朝" w:hAnsi="ＭＳ 明朝" w:eastAsia="ＭＳ 明朝"/>
          <w:sz w:val="24"/>
        </w:rPr>
      </w:pPr>
      <w:r>
        <w:rPr>
          <w:rFonts w:hint="eastAsia" w:ascii="ＭＳ 明朝" w:hAnsi="ＭＳ 明朝" w:eastAsia="ＭＳ 明朝"/>
          <w:sz w:val="22"/>
        </w:rPr>
        <w:t>様式第２号</w:t>
      </w:r>
    </w:p>
    <w:p>
      <w:pPr>
        <w:pStyle w:val="0"/>
        <w:ind w:right="480"/>
        <w:jc w:val="center"/>
        <w:rPr>
          <w:rFonts w:hint="eastAsia" w:ascii="ＭＳ 明朝" w:hAnsi="ＭＳ 明朝" w:eastAsia="ＭＳ 明朝"/>
        </w:rPr>
      </w:pPr>
      <w:r>
        <w:rPr>
          <w:rFonts w:hint="eastAsia" w:ascii="ＭＳ 明朝" w:hAnsi="ＭＳ 明朝" w:eastAsia="ＭＳ 明朝"/>
        </w:rPr>
        <w:t>データセンター要件確認書</w:t>
      </w:r>
    </w:p>
    <w:p>
      <w:pPr>
        <w:pStyle w:val="0"/>
        <w:ind w:left="5880" w:leftChars="0" w:firstLine="1100" w:firstLineChars="500"/>
        <w:rPr>
          <w:rFonts w:hint="eastAsia" w:ascii="ＭＳ 明朝" w:hAnsi="ＭＳ 明朝" w:eastAsia="ＭＳ 明朝"/>
          <w:sz w:val="22"/>
        </w:rPr>
      </w:pPr>
      <w:r>
        <w:rPr>
          <w:rFonts w:hint="eastAsia" w:ascii="ＭＳ 明朝" w:hAnsi="ＭＳ 明朝" w:eastAsia="ＭＳ 明朝"/>
          <w:sz w:val="22"/>
        </w:rPr>
        <w:t>　年　月　日</w:t>
      </w:r>
    </w:p>
    <w:p>
      <w:pPr>
        <w:pStyle w:val="0"/>
        <w:jc w:val="left"/>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三原市長　様</w:t>
      </w:r>
    </w:p>
    <w:p>
      <w:pPr>
        <w:pStyle w:val="0"/>
        <w:rPr>
          <w:rFonts w:hint="eastAsia" w:ascii="ＭＳ 明朝" w:hAnsi="ＭＳ 明朝" w:eastAsia="ＭＳ 明朝"/>
        </w:rPr>
      </w:pPr>
    </w:p>
    <w:p>
      <w:pPr>
        <w:pStyle w:val="0"/>
        <w:ind w:left="3570" w:leftChars="1700" w:firstLine="210" w:firstLineChars="100"/>
        <w:rPr>
          <w:rFonts w:hint="eastAsia" w:ascii="ＭＳ 明朝" w:hAnsi="ＭＳ 明朝" w:eastAsia="ＭＳ 明朝"/>
        </w:rPr>
      </w:pPr>
      <w:r>
        <w:rPr>
          <w:rFonts w:hint="eastAsia" w:ascii="ＭＳ 明朝" w:hAnsi="ＭＳ 明朝" w:eastAsia="ＭＳ 明朝"/>
        </w:rPr>
        <w:t>所在地</w:t>
      </w:r>
    </w:p>
    <w:p>
      <w:pPr>
        <w:pStyle w:val="0"/>
        <w:ind w:left="3570" w:leftChars="1700" w:firstLine="210" w:firstLineChars="100"/>
        <w:rPr>
          <w:rFonts w:hint="eastAsia" w:ascii="ＭＳ 明朝" w:hAnsi="ＭＳ 明朝" w:eastAsia="ＭＳ 明朝"/>
        </w:rPr>
      </w:pPr>
      <w:r>
        <w:rPr>
          <w:rFonts w:hint="eastAsia" w:ascii="ＭＳ 明朝" w:hAnsi="ＭＳ 明朝" w:eastAsia="ＭＳ 明朝"/>
        </w:rPr>
        <w:t>商号又は名称</w:t>
      </w:r>
    </w:p>
    <w:p>
      <w:pPr>
        <w:pStyle w:val="0"/>
        <w:ind w:left="3570" w:leftChars="1700" w:firstLine="210" w:firstLineChars="100"/>
        <w:rPr>
          <w:rFonts w:hint="eastAsia" w:ascii="ＭＳ 明朝" w:hAnsi="ＭＳ 明朝" w:eastAsia="ＭＳ 明朝"/>
        </w:rPr>
      </w:pPr>
      <w:r>
        <w:rPr>
          <w:rFonts w:hint="eastAsia" w:ascii="ＭＳ 明朝" w:hAnsi="ＭＳ 明朝" w:eastAsia="ＭＳ 明朝"/>
        </w:rPr>
        <w:t>代表者名</w:t>
      </w:r>
    </w:p>
    <w:p>
      <w:pPr>
        <w:pStyle w:val="0"/>
        <w:ind w:left="3570" w:leftChars="1700" w:firstLine="210" w:firstLineChars="100"/>
        <w:rPr>
          <w:rFonts w:hint="eastAsia" w:ascii="ＭＳ 明朝" w:hAnsi="ＭＳ 明朝" w:eastAsia="ＭＳ 明朝"/>
        </w:rPr>
      </w:pPr>
      <w:r>
        <w:rPr>
          <w:rFonts w:hint="eastAsia" w:ascii="ＭＳ 明朝" w:hAnsi="ＭＳ 明朝" w:eastAsia="ＭＳ 明朝"/>
          <w:highlight w:val="none"/>
        </w:rPr>
        <w:t>（担当者）</w:t>
      </w:r>
      <w:r>
        <w:rPr>
          <w:rFonts w:hint="eastAsia" w:ascii="ＭＳ 明朝" w:hAnsi="ＭＳ 明朝" w:eastAsia="ＭＳ 明朝"/>
        </w:rPr>
        <w:t>　　　　　　　　　　　</w:t>
      </w:r>
    </w:p>
    <w:p>
      <w:pPr>
        <w:pStyle w:val="0"/>
        <w:ind w:firstLine="220" w:firstLineChars="100"/>
        <w:rPr>
          <w:rFonts w:hint="eastAsia"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三原市文書共有システム導入に関する公募型プロポーザルに参加するに当たり、データセンターに関する要件について、次のとおり確認しました。</w:t>
      </w:r>
    </w:p>
    <w:p>
      <w:pPr>
        <w:pStyle w:val="0"/>
        <w:rPr>
          <w:rFonts w:hint="default" w:ascii="ＭＳ 明朝" w:hAnsi="ＭＳ 明朝" w:eastAsia="ＭＳ 明朝"/>
        </w:rPr>
      </w:pPr>
    </w:p>
    <w:tbl>
      <w:tblPr>
        <w:tblStyle w:val="1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0"/>
        <w:gridCol w:w="6413"/>
        <w:gridCol w:w="1559"/>
      </w:tblGrid>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項番</w:t>
            </w:r>
          </w:p>
        </w:tc>
        <w:tc>
          <w:tcPr>
            <w:tcW w:w="6413"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要　　　　件</w:t>
            </w:r>
          </w:p>
        </w:tc>
        <w:tc>
          <w:tcPr>
            <w:tcW w:w="1559"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確　認</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1</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データセンターは、日本国内にあり２４時間３６５日の利用を可能とすること。</w:t>
            </w:r>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sz w:val="20"/>
              </w:rPr>
            </w:pPr>
            <w:r>
              <w:rPr>
                <w:rFonts w:hint="eastAsia" w:ascii="ＭＳ 明朝" w:hAnsi="ＭＳ 明朝" w:eastAsia="ＭＳ 明朝"/>
                <w:sz w:val="22"/>
              </w:rPr>
              <w:t>□　いいえ</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2</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建築基準法（昭和２５年法律第２０１号）に規定する耐震構造建築物とし、同法に規定する耐火性能を有し、防火対策及び水の被害を防止する措置がとられていること。</w:t>
            </w:r>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rPr>
            </w:pPr>
            <w:r>
              <w:rPr>
                <w:rFonts w:hint="eastAsia" w:ascii="ＭＳ 明朝" w:hAnsi="ＭＳ 明朝" w:eastAsia="ＭＳ 明朝"/>
                <w:sz w:val="22"/>
              </w:rPr>
              <w:t>□　いいえ</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3</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建物の出入り口に防犯対策が講じられていること。</w:t>
            </w:r>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rPr>
            </w:pPr>
            <w:r>
              <w:rPr>
                <w:rFonts w:hint="eastAsia" w:ascii="ＭＳ 明朝" w:hAnsi="ＭＳ 明朝" w:eastAsia="ＭＳ 明朝"/>
                <w:sz w:val="22"/>
              </w:rPr>
              <w:t>□　いいえ</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4</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データセンターには事前に登録された者のみが入館できるよう、入退館が管理されていること。</w:t>
            </w:r>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rPr>
            </w:pPr>
            <w:r>
              <w:rPr>
                <w:rFonts w:hint="eastAsia" w:ascii="ＭＳ 明朝" w:hAnsi="ＭＳ 明朝" w:eastAsia="ＭＳ 明朝"/>
                <w:sz w:val="22"/>
              </w:rPr>
              <w:t>□　いいえ</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5</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停電対策として、異系統による本線及び予備線電源線受電方式による多重化又は定電圧定周波数装置、非常用自家発電装置の連動による対策が取られていること。</w:t>
            </w:r>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rPr>
            </w:pPr>
            <w:r>
              <w:rPr>
                <w:rFonts w:hint="eastAsia" w:ascii="ＭＳ 明朝" w:hAnsi="ＭＳ 明朝" w:eastAsia="ＭＳ 明朝"/>
                <w:sz w:val="22"/>
              </w:rPr>
              <w:t>□　いいえ</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6</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厳重な情報セキュリティ対策を取ること。</w:t>
            </w:r>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rPr>
            </w:pPr>
            <w:r>
              <w:rPr>
                <w:rFonts w:hint="eastAsia" w:ascii="ＭＳ 明朝" w:hAnsi="ＭＳ 明朝" w:eastAsia="ＭＳ 明朝"/>
                <w:sz w:val="22"/>
              </w:rPr>
              <w:t>□　いいえ</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7</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ドメイン及びサーバーの信頼性を提供すること。</w:t>
            </w:r>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rPr>
            </w:pPr>
            <w:r>
              <w:rPr>
                <w:rFonts w:hint="eastAsia" w:ascii="ＭＳ 明朝" w:hAnsi="ＭＳ 明朝" w:eastAsia="ＭＳ 明朝"/>
                <w:sz w:val="22"/>
              </w:rPr>
              <w:t>□　いいえ</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8</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プログラミング上のセキュリティ対策と、不要ポート・システムの削除を行うこと。</w:t>
            </w:r>
            <w:bookmarkStart w:id="0" w:name="_GoBack"/>
            <w:bookmarkEnd w:id="0"/>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rPr>
            </w:pPr>
            <w:r>
              <w:rPr>
                <w:rFonts w:hint="eastAsia" w:ascii="ＭＳ 明朝" w:hAnsi="ＭＳ 明朝" w:eastAsia="ＭＳ 明朝"/>
                <w:sz w:val="22"/>
              </w:rPr>
              <w:t>□　いいえ</w:t>
            </w:r>
          </w:p>
        </w:tc>
      </w:tr>
      <w:tr>
        <w:trPr/>
        <w:tc>
          <w:tcPr>
            <w:tcW w:w="670"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9</w:t>
            </w:r>
          </w:p>
        </w:tc>
        <w:tc>
          <w:tcPr>
            <w:tcW w:w="6413" w:type="dxa"/>
            <w:shd w:val="clear" w:color="auto" w:fill="auto"/>
            <w:vAlign w:val="center"/>
          </w:tcPr>
          <w:p>
            <w:pPr>
              <w:pStyle w:val="0"/>
              <w:rPr>
                <w:rFonts w:hint="default" w:ascii="ＭＳ 明朝" w:hAnsi="ＭＳ 明朝" w:eastAsia="ＭＳ 明朝"/>
                <w:highlight w:val="yellow"/>
              </w:rPr>
            </w:pPr>
            <w:r>
              <w:rPr>
                <w:rFonts w:hint="eastAsia" w:ascii="ＭＳ 明朝" w:hAnsi="ＭＳ 明朝" w:eastAsia="ＭＳ 明朝"/>
              </w:rPr>
              <w:t>日次によるバックアップに対応していること。また、サーバー機器故障、サーバー管理者の操作ミス等によりシステムに登録されたデータが失われることのないよう対策を講じること。</w:t>
            </w:r>
          </w:p>
        </w:tc>
        <w:tc>
          <w:tcPr>
            <w:tcW w:w="1559" w:type="dxa"/>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　はい</w:t>
            </w:r>
          </w:p>
          <w:p>
            <w:pPr>
              <w:pStyle w:val="0"/>
              <w:rPr>
                <w:rFonts w:hint="default" w:ascii="ＭＳ 明朝" w:hAnsi="ＭＳ 明朝" w:eastAsia="ＭＳ 明朝"/>
              </w:rPr>
            </w:pPr>
            <w:r>
              <w:rPr>
                <w:rFonts w:hint="eastAsia" w:ascii="ＭＳ 明朝" w:hAnsi="ＭＳ 明朝" w:eastAsia="ＭＳ 明朝"/>
                <w:sz w:val="22"/>
              </w:rPr>
              <w:t>□　いいえ</w:t>
            </w:r>
          </w:p>
        </w:tc>
      </w:tr>
    </w:tbl>
    <w:p>
      <w:pPr>
        <w:pStyle w:val="0"/>
        <w:rPr>
          <w:rFonts w:hint="default" w:ascii="ＭＳ 明朝" w:hAnsi="ＭＳ 明朝" w:eastAsia="ＭＳ 明朝"/>
        </w:rPr>
      </w:pPr>
      <w:r>
        <w:rPr>
          <w:rFonts w:hint="default" w:ascii="ＭＳ 明朝" w:hAnsi="ＭＳ 明朝" w:eastAsia="ＭＳ 明朝"/>
        </w:rPr>
        <w:t xml:space="preserve">※ </w:t>
      </w:r>
      <w:r>
        <w:rPr>
          <w:rFonts w:hint="default" w:ascii="ＭＳ 明朝" w:hAnsi="ＭＳ 明朝" w:eastAsia="ＭＳ 明朝"/>
        </w:rPr>
        <w:t>「確認」欄の該当箇所の</w:t>
      </w:r>
      <w:r>
        <w:rPr>
          <w:rFonts w:hint="default" w:ascii="ＭＳ 明朝" w:hAnsi="ＭＳ 明朝" w:eastAsia="ＭＳ 明朝"/>
        </w:rPr>
        <w:t>□</w:t>
      </w:r>
      <w:r>
        <w:rPr>
          <w:rFonts w:hint="default" w:ascii="ＭＳ 明朝" w:hAnsi="ＭＳ 明朝" w:eastAsia="ＭＳ 明朝"/>
        </w:rPr>
        <w:t>に</w:t>
      </w:r>
      <w:r>
        <w:rPr>
          <w:rFonts w:hint="eastAsia" w:ascii="ＭＳ 明朝" w:hAnsi="ＭＳ 明朝" w:eastAsia="ＭＳ 明朝"/>
          <w:b w:val="1"/>
        </w:rPr>
        <w:t>レ</w:t>
      </w:r>
      <w:r>
        <w:rPr>
          <w:rFonts w:hint="default" w:ascii="ＭＳ 明朝" w:hAnsi="ＭＳ 明朝" w:eastAsia="ＭＳ 明朝"/>
        </w:rPr>
        <w:t>マークを記すこと。</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16</Words>
  <Characters>731</Characters>
  <Application>JUST Note</Application>
  <Lines>66</Lines>
  <Paragraphs>49</Paragraphs>
  <CharactersWithSpaces>770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泰也</cp:lastModifiedBy>
  <dcterms:modified xsi:type="dcterms:W3CDTF">2025-08-21T04:03:51Z</dcterms:modified>
  <cp:revision>6</cp:revision>
</cp:coreProperties>
</file>