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-350520</wp:posOffset>
                </wp:positionV>
                <wp:extent cx="822960" cy="4495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別紙７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64.8pt;height:35.4pt;mso-position-horizontal-relative:text;position:absolute;margin-left:413.4pt;margin-top:-27.6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48"/>
        </w:rPr>
        <w:t>津波避難訓練　モデル訓練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１　訓練概要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時刻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内　　　　　　　　　　　　　容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10:00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避難訓練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ind w:firstLine="275" w:firstLineChars="100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津波警報が当日１０時に発表されたと仮定して、それぞれの自宅から○○小学校体育館に徒歩で向かってください。</w:t>
            </w:r>
          </w:p>
          <w:p>
            <w:pPr>
              <w:pStyle w:val="0"/>
              <w:spacing w:line="380" w:lineRule="exact"/>
              <w:ind w:left="260" w:hanging="260" w:hangingChars="100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※各自で自宅から○○小学校の体育館までの</w:t>
            </w:r>
            <w:r>
              <w:rPr>
                <w:rFonts w:hint="eastAsia" w:ascii="ＭＳ 明朝" w:hAnsi="ＭＳ 明朝" w:eastAsia="ＭＳ 明朝"/>
                <w:b w:val="0"/>
                <w:sz w:val="26"/>
                <w:u w:val="thick" w:color="auto"/>
              </w:rPr>
              <w:t>時間を計測</w:t>
            </w:r>
            <w:r>
              <w:rPr>
                <w:rFonts w:hint="eastAsia" w:ascii="ＭＳ 明朝" w:hAnsi="ＭＳ 明朝" w:eastAsia="ＭＳ 明朝"/>
                <w:b w:val="0"/>
                <w:sz w:val="26"/>
              </w:rPr>
              <w:t>してください。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10:30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時間確認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○○小学校の体育館に到着後、各自で計測した時間を確認します。</w:t>
            </w:r>
          </w:p>
        </w:tc>
      </w:tr>
      <w:tr>
        <w:trPr>
          <w:trHeight w:val="530" w:hRule="atLeast"/>
        </w:trPr>
        <w:tc>
          <w:tcPr>
            <w:tcW w:w="1675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10:35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防災ｱﾄﾞﾊﾞｲｽ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　地震発生時の避難行動や家具類の転倒防止対策、家庭における備蓄対応などについて説明します。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10:50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実践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ワンタッチテントと段ボールベットの組立訓練を参加者で実施します。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11:10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振り返り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訓練参加者で今回の訓練について振り返り、意見交換を行います。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11:30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b w:val="0"/>
                <w:sz w:val="26"/>
              </w:rPr>
            </w:pPr>
            <w:r>
              <w:rPr>
                <w:rFonts w:hint="eastAsia" w:ascii="ＭＳ 明朝" w:hAnsi="ＭＳ 明朝" w:eastAsia="ＭＳ 明朝"/>
                <w:b w:val="0"/>
                <w:sz w:val="26"/>
              </w:rPr>
              <w:t>片付け・解散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２　訓練時間割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"/>
        <w:gridCol w:w="1049"/>
        <w:gridCol w:w="7641"/>
      </w:tblGrid>
      <w:tr>
        <w:trPr/>
        <w:tc>
          <w:tcPr>
            <w:tcW w:w="96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時間</w:t>
            </w:r>
          </w:p>
        </w:tc>
        <w:tc>
          <w:tcPr>
            <w:tcW w:w="104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役割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内容</w:t>
            </w:r>
          </w:p>
        </w:tc>
      </w:tr>
      <w:tr>
        <w:trPr/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9:00</w:t>
            </w:r>
          </w:p>
        </w:tc>
        <w:tc>
          <w:tcPr>
            <w:tcW w:w="104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○関係者集合。会場準備</w:t>
            </w:r>
          </w:p>
        </w:tc>
      </w:tr>
      <w:tr>
        <w:trPr>
          <w:trHeight w:val="80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10:00</w:t>
            </w:r>
          </w:p>
        </w:tc>
        <w:tc>
          <w:tcPr>
            <w:tcW w:w="104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○町内放送により避難開始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　～参加者避難～</w:t>
            </w:r>
          </w:p>
        </w:tc>
      </w:tr>
      <w:tr>
        <w:trPr/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10:05</w:t>
            </w:r>
          </w:p>
        </w:tc>
        <w:tc>
          <w:tcPr>
            <w:tcW w:w="1049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○参加者到着とともに受付開始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・受付票を渡して避難時間等を記入</w:t>
            </w:r>
          </w:p>
          <w:p>
            <w:pPr>
              <w:pStyle w:val="0"/>
              <w:ind w:left="0" w:leftChars="0" w:hanging="420" w:hangingChars="2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・地震の備え、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>感震ブレーカーのチラシを参加者に配布</w:t>
            </w:r>
          </w:p>
        </w:tc>
      </w:tr>
      <w:tr>
        <w:trPr>
          <w:trHeight w:val="900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10:30</w:t>
            </w:r>
          </w:p>
        </w:tc>
        <w:tc>
          <w:tcPr>
            <w:tcW w:w="10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講師</w:t>
            </w:r>
          </w:p>
          <w:p>
            <w:pPr>
              <w:pStyle w:val="0"/>
              <w:ind w:left="0" w:leftChars="0" w:right="0" w:right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地域防災リーダー等）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○参加者の計測時間の確認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・会長あいさつ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・家から避難所までの移動時間を確認してもらう</w:t>
            </w:r>
          </w:p>
        </w:tc>
      </w:tr>
      <w:tr>
        <w:trPr>
          <w:trHeight w:val="1134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10:35</w:t>
            </w:r>
          </w:p>
        </w:tc>
        <w:tc>
          <w:tcPr>
            <w:tcW w:w="1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○「地震の備え」のチラシによる説明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・地震発生時のシェイクアウト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・転倒防止対策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・家庭内の備蓄</w:t>
            </w:r>
          </w:p>
        </w:tc>
      </w:tr>
      <w:tr>
        <w:trPr>
          <w:trHeight w:val="1134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10:50</w:t>
            </w:r>
          </w:p>
        </w:tc>
        <w:tc>
          <w:tcPr>
            <w:tcW w:w="1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○ワンタッチテント、段ボールベットの組み立て訓練</w:t>
            </w:r>
          </w:p>
          <w:p>
            <w:pPr>
              <w:pStyle w:val="0"/>
              <w:ind w:left="420" w:hanging="420" w:hangingChars="2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・グループごとに分かれてそれぞれを組み立て</w:t>
            </w:r>
          </w:p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　※１グループ：</w:t>
            </w: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～</w:t>
            </w:r>
            <w:r>
              <w:rPr>
                <w:rFonts w:hint="eastAsia"/>
                <w:sz w:val="26"/>
              </w:rPr>
              <w:t>15</w:t>
            </w:r>
            <w:r>
              <w:rPr>
                <w:rFonts w:hint="eastAsia"/>
                <w:sz w:val="26"/>
              </w:rPr>
              <w:t>人</w:t>
            </w:r>
          </w:p>
        </w:tc>
      </w:tr>
      <w:tr>
        <w:trPr>
          <w:trHeight w:val="276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11:10</w:t>
            </w:r>
          </w:p>
        </w:tc>
        <w:tc>
          <w:tcPr>
            <w:tcW w:w="1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1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○訓練振り返り</w:t>
            </w:r>
          </w:p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・グループごとに訓練の振り返り、発表</w:t>
            </w:r>
          </w:p>
        </w:tc>
      </w:tr>
      <w:tr>
        <w:trPr>
          <w:trHeight w:val="35" w:hRule="atLeast"/>
        </w:trPr>
        <w:tc>
          <w:tcPr>
            <w:tcW w:w="965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11:30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役員</w:t>
            </w:r>
          </w:p>
        </w:tc>
        <w:tc>
          <w:tcPr>
            <w:tcW w:w="7641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○解散</w:t>
            </w:r>
          </w:p>
          <w:p>
            <w:pPr>
              <w:pStyle w:val="0"/>
              <w:ind w:firstLineChars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・ワンタッチテント、段ボールベット片付けの手伝い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1"/>
          <w:shd w:val="pct15" w:color="auto" w:fill="auto"/>
        </w:rPr>
      </w:pPr>
    </w:p>
    <w:sectPr>
      <w:headerReference r:id="rId5" w:type="default"/>
      <w:pgSz w:w="11906" w:h="16838"/>
      <w:pgMar w:top="964" w:right="1134" w:bottom="510" w:left="1134" w:header="454" w:footer="39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2214</TotalTime>
  <Pages>1</Pages>
  <Words>30</Words>
  <Characters>655</Characters>
  <Application>JUST Note</Application>
  <Lines>84</Lines>
  <Paragraphs>61</Paragraphs>
  <CharactersWithSpaces>689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2024-12-09T01:49:31Z</cp:lastPrinted>
  <dcterms:created xsi:type="dcterms:W3CDTF">2024-05-09T00:35:00Z</dcterms:created>
  <dcterms:modified xsi:type="dcterms:W3CDTF">2025-01-31T00:37:47Z</dcterms:modified>
  <cp:revision>15</cp:revision>
</cp:coreProperties>
</file>