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44"/>
        </w:rPr>
        <w:t>誓　　約　　書</w:t>
      </w:r>
    </w:p>
    <w:p>
      <w:pPr>
        <w:pStyle w:val="15"/>
        <w:ind w:rightChars="0"/>
        <w:jc w:val="right"/>
        <w:rPr>
          <w:rFonts w:hint="default"/>
          <w:sz w:val="22"/>
        </w:rPr>
      </w:pPr>
      <w:r>
        <w:rPr>
          <w:rFonts w:hint="eastAsia"/>
          <w:sz w:val="22"/>
        </w:rPr>
        <w:t>　　年　　月　　日</w:t>
      </w:r>
    </w:p>
    <w:p>
      <w:pPr>
        <w:pStyle w:val="0"/>
        <w:ind w:rightChars="0"/>
        <w:jc w:val="right"/>
        <w:rPr>
          <w:rFonts w:hint="default"/>
          <w:sz w:val="22"/>
        </w:rPr>
      </w:pPr>
    </w:p>
    <w:p>
      <w:pPr>
        <w:pStyle w:val="0"/>
        <w:spacing w:line="240" w:lineRule="exact"/>
        <w:rPr>
          <w:rFonts w:hint="default"/>
          <w:color w:val="auto"/>
          <w:sz w:val="22"/>
        </w:rPr>
      </w:pPr>
      <w:r>
        <w:rPr>
          <w:rFonts w:hint="eastAsia"/>
          <w:snapToGrid w:val="0"/>
          <w:sz w:val="22"/>
        </w:rPr>
        <w:t>　三</w:t>
      </w:r>
      <w:r>
        <w:rPr>
          <w:rFonts w:hint="eastAsia"/>
          <w:snapToGrid w:val="0"/>
          <w:sz w:val="22"/>
        </w:rPr>
        <w:t xml:space="preserve"> </w:t>
      </w:r>
      <w:r>
        <w:rPr>
          <w:rFonts w:hint="eastAsia"/>
          <w:snapToGrid w:val="0"/>
          <w:sz w:val="22"/>
        </w:rPr>
        <w:t>原</w:t>
      </w:r>
      <w:r>
        <w:rPr>
          <w:rFonts w:hint="eastAsia"/>
          <w:snapToGrid w:val="0"/>
          <w:sz w:val="22"/>
        </w:rPr>
        <w:t xml:space="preserve"> </w:t>
      </w:r>
      <w:r>
        <w:rPr>
          <w:rFonts w:hint="eastAsia"/>
          <w:snapToGrid w:val="0"/>
          <w:sz w:val="22"/>
        </w:rPr>
        <w:t>市</w:t>
      </w:r>
      <w:r>
        <w:rPr>
          <w:rFonts w:hint="eastAsia"/>
          <w:snapToGrid w:val="0"/>
          <w:color w:val="auto"/>
          <w:sz w:val="22"/>
        </w:rPr>
        <w:t xml:space="preserve"> </w:t>
      </w:r>
      <w:r>
        <w:rPr>
          <w:rFonts w:hint="eastAsia"/>
          <w:snapToGrid w:val="0"/>
          <w:color w:val="auto"/>
          <w:sz w:val="22"/>
        </w:rPr>
        <w:t>長　</w:t>
      </w:r>
      <w:r>
        <w:rPr>
          <w:rFonts w:hint="eastAsia"/>
          <w:color w:val="auto"/>
          <w:sz w:val="22"/>
        </w:rPr>
        <w:t>　様</w:t>
      </w:r>
    </w:p>
    <w:p>
      <w:pPr>
        <w:pStyle w:val="15"/>
        <w:spacing w:line="240" w:lineRule="exact"/>
        <w:rPr>
          <w:rFonts w:hint="default"/>
          <w:color w:val="auto"/>
          <w:sz w:val="22"/>
        </w:rPr>
      </w:pPr>
    </w:p>
    <w:p>
      <w:pPr>
        <w:pStyle w:val="0"/>
        <w:spacing w:line="260" w:lineRule="exact"/>
        <w:rPr>
          <w:rFonts w:hint="default"/>
          <w:color w:val="auto"/>
          <w:sz w:val="22"/>
        </w:rPr>
      </w:pPr>
      <w:r>
        <w:rPr>
          <w:rFonts w:hint="eastAsia"/>
          <w:color w:val="auto"/>
          <w:sz w:val="22"/>
        </w:rPr>
        <w:t>　　　　　　　　　　　　　　　　　　住　　　　所　</w:t>
      </w:r>
    </w:p>
    <w:p>
      <w:pPr>
        <w:pStyle w:val="0"/>
        <w:spacing w:line="260" w:lineRule="exact"/>
        <w:rPr>
          <w:rFonts w:hint="default"/>
          <w:color w:val="auto"/>
          <w:sz w:val="22"/>
        </w:rPr>
      </w:pPr>
      <w:r>
        <w:rPr>
          <w:rFonts w:hint="eastAsia"/>
          <w:color w:val="auto"/>
          <w:sz w:val="22"/>
        </w:rPr>
        <w:t>　　　　　　　　　　　　　　　　　　商号又は名称</w:t>
      </w:r>
    </w:p>
    <w:p>
      <w:pPr>
        <w:pStyle w:val="0"/>
        <w:spacing w:line="260" w:lineRule="exact"/>
        <w:rPr>
          <w:rFonts w:hint="default"/>
          <w:color w:val="auto"/>
          <w:sz w:val="22"/>
        </w:rPr>
      </w:pPr>
      <w:r>
        <w:rPr>
          <w:rFonts w:hint="eastAsia"/>
          <w:color w:val="auto"/>
          <w:sz w:val="22"/>
        </w:rPr>
        <w:t>　　　　　　　　　　　　　　　　　　代表者職氏名</w:t>
      </w:r>
    </w:p>
    <w:p>
      <w:pPr>
        <w:pStyle w:val="0"/>
        <w:spacing w:line="260" w:lineRule="exact"/>
        <w:rPr>
          <w:rFonts w:hint="default"/>
          <w:color w:val="auto"/>
          <w:sz w:val="22"/>
        </w:rPr>
      </w:pPr>
    </w:p>
    <w:p>
      <w:pPr>
        <w:pStyle w:val="0"/>
        <w:ind w:left="482" w:leftChars="100" w:hanging="241" w:hangingChars="100"/>
        <w:rPr>
          <w:rFonts w:hint="default"/>
          <w:color w:val="auto"/>
          <w:sz w:val="22"/>
        </w:rPr>
      </w:pPr>
      <w:r>
        <w:rPr>
          <w:rFonts w:hint="eastAsia"/>
          <w:color w:val="auto"/>
          <w:sz w:val="22"/>
        </w:rPr>
        <w:t>《　　　　　　　　》</w:t>
      </w:r>
      <w:r>
        <w:rPr>
          <w:rFonts w:hint="eastAsia"/>
          <w:color w:val="auto"/>
          <w:sz w:val="22"/>
          <w:vertAlign w:val="superscript"/>
        </w:rPr>
        <w:t>※</w:t>
      </w:r>
      <w:r>
        <w:rPr>
          <w:rFonts w:hint="eastAsia"/>
          <w:color w:val="auto"/>
          <w:sz w:val="22"/>
          <w:vertAlign w:val="superscript"/>
        </w:rPr>
        <w:t>1</w:t>
      </w:r>
      <w:r>
        <w:rPr>
          <w:rFonts w:hint="eastAsia"/>
          <w:color w:val="auto"/>
          <w:sz w:val="22"/>
        </w:rPr>
        <w:t>について、営業所技術者又は特定営業所技術者ではありますが、</w:t>
      </w:r>
    </w:p>
    <w:p>
      <w:pPr>
        <w:pStyle w:val="0"/>
        <w:ind w:left="482" w:hanging="482" w:hangingChars="200"/>
        <w:rPr>
          <w:rFonts w:hint="default"/>
          <w:color w:val="auto"/>
          <w:sz w:val="22"/>
        </w:rPr>
      </w:pPr>
      <w:r>
        <w:rPr>
          <w:rFonts w:hint="eastAsia"/>
          <w:color w:val="auto"/>
          <w:sz w:val="22"/>
        </w:rPr>
        <w:t>この工事は当該営業所において請負契約が締結され、営業所と工事現場間の距離が一日の</w:t>
      </w:r>
    </w:p>
    <w:p>
      <w:pPr>
        <w:pStyle w:val="0"/>
        <w:ind w:left="482" w:hanging="482" w:hangingChars="200"/>
        <w:rPr>
          <w:rFonts w:hint="default"/>
          <w:color w:val="auto"/>
          <w:sz w:val="22"/>
        </w:rPr>
      </w:pPr>
      <w:r>
        <w:rPr>
          <w:rFonts w:hint="eastAsia"/>
          <w:color w:val="auto"/>
          <w:sz w:val="22"/>
        </w:rPr>
        <w:t>勤務時間内に巡回可能なものであり、かつ移動時間がおおむね２時間以内であるため、主</w:t>
      </w:r>
    </w:p>
    <w:p>
      <w:pPr>
        <w:pStyle w:val="0"/>
        <w:ind w:left="482" w:hanging="482" w:hangingChars="200"/>
        <w:rPr>
          <w:rFonts w:hint="default"/>
          <w:color w:val="auto"/>
          <w:sz w:val="22"/>
        </w:rPr>
      </w:pPr>
      <w:r>
        <w:rPr>
          <w:rFonts w:hint="eastAsia"/>
          <w:color w:val="auto"/>
          <w:sz w:val="22"/>
        </w:rPr>
        <w:t>任技術者等として配置します。</w:t>
      </w:r>
    </w:p>
    <w:p>
      <w:pPr>
        <w:pStyle w:val="0"/>
        <w:ind w:left="0" w:leftChars="0" w:firstLine="241" w:firstLineChars="100"/>
        <w:rPr>
          <w:rFonts w:hint="default"/>
          <w:color w:val="auto"/>
          <w:sz w:val="22"/>
        </w:rPr>
      </w:pPr>
      <w:r>
        <w:rPr>
          <w:rFonts w:hint="eastAsia"/>
          <w:color w:val="auto"/>
          <w:sz w:val="22"/>
        </w:rPr>
        <w:t>また、以下の①②のうちどちらかの要件を全て満たすことを誓約します。</w:t>
      </w:r>
    </w:p>
    <w:p>
      <w:pPr>
        <w:pStyle w:val="0"/>
        <w:ind w:left="0" w:leftChars="0" w:firstLine="241" w:firstLineChars="100"/>
        <w:rPr>
          <w:rFonts w:hint="default"/>
          <w:color w:val="auto"/>
          <w:sz w:val="22"/>
        </w:rPr>
      </w:pPr>
    </w:p>
    <w:p>
      <w:pPr>
        <w:pStyle w:val="0"/>
        <w:ind w:left="0" w:leftChars="0" w:firstLine="0" w:firstLineChars="0"/>
        <w:rPr>
          <w:rFonts w:hint="default"/>
          <w:color w:val="auto"/>
          <w:sz w:val="22"/>
        </w:rPr>
      </w:pPr>
      <w:r>
        <w:rPr>
          <w:rFonts w:hint="eastAsia"/>
          <w:color w:val="auto"/>
          <w:sz w:val="22"/>
        </w:rPr>
        <w:t>①専任を要しない工事の主任技術者として配置する場合（～</w:t>
      </w:r>
      <w:r>
        <w:rPr>
          <w:rFonts w:hint="eastAsia"/>
          <w:color w:val="auto"/>
          <w:sz w:val="22"/>
        </w:rPr>
        <w:t>4,500</w:t>
      </w:r>
      <w:r>
        <w:rPr>
          <w:rFonts w:hint="eastAsia"/>
          <w:color w:val="auto"/>
          <w:sz w:val="22"/>
        </w:rPr>
        <w:t>万円未満</w:t>
      </w:r>
      <w:r>
        <w:rPr>
          <w:rFonts w:hint="eastAsia"/>
          <w:color w:val="auto"/>
          <w:sz w:val="22"/>
          <w:vertAlign w:val="superscript"/>
        </w:rPr>
        <w:t>※２</w:t>
      </w:r>
      <w:r>
        <w:rPr>
          <w:rFonts w:hint="eastAsia"/>
          <w:color w:val="auto"/>
          <w:sz w:val="22"/>
        </w:rPr>
        <w:t>）</w:t>
      </w:r>
    </w:p>
    <w:p>
      <w:pPr>
        <w:pStyle w:val="0"/>
        <w:ind w:left="0" w:leftChars="0" w:firstLine="121" w:firstLineChars="50"/>
        <w:rPr>
          <w:rFonts w:hint="default"/>
          <w:color w:val="auto"/>
          <w:sz w:val="20"/>
        </w:rPr>
      </w:pPr>
      <w:r>
        <w:rPr>
          <w:rFonts w:hint="eastAsia"/>
          <w:color w:val="auto"/>
          <w:sz w:val="20"/>
        </w:rPr>
        <w:t>・当該営業所との間で常時連絡をとりうる体制にあること</w:t>
      </w:r>
    </w:p>
    <w:p>
      <w:pPr>
        <w:pStyle w:val="0"/>
        <w:ind w:left="0" w:leftChars="0" w:firstLine="121" w:firstLineChars="50"/>
        <w:rPr>
          <w:rFonts w:hint="default"/>
          <w:color w:val="auto"/>
          <w:sz w:val="22"/>
        </w:rPr>
      </w:pPr>
      <w:r>
        <w:rPr>
          <w:rFonts w:hint="eastAsia"/>
          <w:color w:val="auto"/>
          <w:sz w:val="20"/>
        </w:rPr>
        <w:t>・現在３件（本件工事は含まない。）以上の建設工事の主任技術者になっていないこと</w:t>
      </w:r>
    </w:p>
    <w:p>
      <w:pPr>
        <w:pStyle w:val="0"/>
        <w:ind w:left="362" w:leftChars="50" w:hanging="241" w:hangingChars="100"/>
        <w:rPr>
          <w:rFonts w:hint="default"/>
          <w:color w:val="auto"/>
          <w:sz w:val="22"/>
        </w:rPr>
      </w:pPr>
      <w:r>
        <w:rPr>
          <w:rFonts w:hint="eastAsia"/>
          <w:color w:val="auto"/>
          <w:sz w:val="20"/>
        </w:rPr>
        <w:t>・当該工事に配置している期間に、３件を超える建設工事の主任技術者として配置しないこと</w:t>
      </w:r>
    </w:p>
    <w:p>
      <w:pPr>
        <w:pStyle w:val="0"/>
        <w:rPr>
          <w:rFonts w:hint="default"/>
          <w:color w:val="auto"/>
          <w:sz w:val="22"/>
        </w:rPr>
      </w:pPr>
      <w:r>
        <w:rPr>
          <w:rFonts w:hint="eastAsia"/>
          <w:color w:val="auto"/>
          <w:sz w:val="22"/>
        </w:rPr>
        <w:t>②専任を要する工事の主任技術者として配置する場合（</w:t>
      </w:r>
      <w:r>
        <w:rPr>
          <w:rFonts w:hint="eastAsia"/>
          <w:color w:val="auto"/>
          <w:sz w:val="22"/>
        </w:rPr>
        <w:t>4,500</w:t>
      </w:r>
      <w:r>
        <w:rPr>
          <w:rFonts w:hint="eastAsia"/>
          <w:color w:val="auto"/>
          <w:sz w:val="22"/>
        </w:rPr>
        <w:t>万円以上</w:t>
      </w:r>
      <w:r>
        <w:rPr>
          <w:rFonts w:hint="eastAsia"/>
          <w:color w:val="auto"/>
          <w:sz w:val="22"/>
        </w:rPr>
        <w:t>1</w:t>
      </w:r>
      <w:r>
        <w:rPr>
          <w:rFonts w:hint="eastAsia"/>
          <w:color w:val="auto"/>
          <w:sz w:val="22"/>
        </w:rPr>
        <w:t>億円未満</w:t>
      </w:r>
      <w:r>
        <w:rPr>
          <w:rFonts w:hint="eastAsia"/>
          <w:color w:val="auto"/>
          <w:sz w:val="22"/>
          <w:vertAlign w:val="superscript"/>
        </w:rPr>
        <w:t>※２</w:t>
      </w:r>
      <w:r>
        <w:rPr>
          <w:rFonts w:hint="eastAsia"/>
          <w:color w:val="auto"/>
          <w:sz w:val="22"/>
        </w:rPr>
        <w:t>）</w:t>
      </w:r>
    </w:p>
    <w:p>
      <w:pPr>
        <w:pStyle w:val="0"/>
        <w:ind w:left="0" w:leftChars="0" w:firstLine="121" w:firstLineChars="50"/>
        <w:rPr>
          <w:rFonts w:hint="default"/>
          <w:color w:val="auto"/>
          <w:sz w:val="20"/>
        </w:rPr>
      </w:pPr>
      <w:r>
        <w:rPr>
          <w:rFonts w:hint="eastAsia"/>
          <w:color w:val="auto"/>
          <w:sz w:val="20"/>
        </w:rPr>
        <w:t>・兼ねる工事現場の数が１以下であること</w:t>
      </w:r>
    </w:p>
    <w:p>
      <w:pPr>
        <w:pStyle w:val="0"/>
        <w:ind w:left="0" w:leftChars="0" w:firstLine="121" w:firstLineChars="50"/>
        <w:rPr>
          <w:rFonts w:hint="default"/>
          <w:color w:val="auto"/>
          <w:sz w:val="20"/>
        </w:rPr>
      </w:pPr>
      <w:r>
        <w:rPr>
          <w:rFonts w:hint="eastAsia"/>
          <w:color w:val="auto"/>
          <w:sz w:val="20"/>
        </w:rPr>
        <w:t>・下請次数が３を超えていないこと</w:t>
      </w:r>
    </w:p>
    <w:p>
      <w:pPr>
        <w:pStyle w:val="0"/>
        <w:ind w:left="0" w:leftChars="0" w:firstLine="121" w:firstLineChars="50"/>
        <w:rPr>
          <w:rFonts w:hint="default"/>
          <w:sz w:val="20"/>
        </w:rPr>
      </w:pPr>
      <w:r>
        <w:rPr>
          <w:rFonts w:hint="eastAsia"/>
          <w:sz w:val="20"/>
        </w:rPr>
        <w:t>・連絡員を置いていること</w:t>
      </w:r>
    </w:p>
    <w:p>
      <w:pPr>
        <w:pStyle w:val="0"/>
        <w:ind w:left="362" w:leftChars="50" w:hanging="241" w:hangingChars="100"/>
        <w:rPr>
          <w:rFonts w:hint="default"/>
          <w:sz w:val="20"/>
        </w:rPr>
      </w:pPr>
      <w:r>
        <w:rPr>
          <w:rFonts w:hint="eastAsia"/>
          <w:sz w:val="20"/>
        </w:rPr>
        <w:t>・工事現場の施工体制を情報通信技術を利用して確認するための措置を講じていること</w:t>
      </w:r>
    </w:p>
    <w:p>
      <w:pPr>
        <w:pStyle w:val="0"/>
        <w:ind w:left="0" w:leftChars="0" w:firstLine="121" w:firstLineChars="50"/>
        <w:rPr>
          <w:rFonts w:hint="default"/>
          <w:sz w:val="20"/>
        </w:rPr>
      </w:pPr>
      <w:r>
        <w:rPr>
          <w:rFonts w:hint="eastAsia"/>
          <w:sz w:val="20"/>
        </w:rPr>
        <w:t>・人員配置計画書を作成し、現場毎に備え置き及び営業所に保存すること</w:t>
      </w:r>
      <w:r>
        <w:rPr>
          <w:rFonts w:hint="eastAsia"/>
          <w:sz w:val="20"/>
          <w:vertAlign w:val="superscript"/>
        </w:rPr>
        <w:t>※３</w:t>
      </w:r>
    </w:p>
    <w:p>
      <w:pPr>
        <w:pStyle w:val="0"/>
        <w:ind w:left="362" w:leftChars="50" w:hanging="241" w:hangingChars="100"/>
        <w:rPr>
          <w:rFonts w:hint="default"/>
          <w:sz w:val="22"/>
        </w:rPr>
      </w:pPr>
      <w:r>
        <w:rPr>
          <w:rFonts w:hint="eastAsia"/>
          <w:sz w:val="20"/>
        </w:rPr>
        <w:t>・工事現場以外の場所から現場状況を確認するための情報通信機器の設置及び環境の確保をすること</w:t>
      </w:r>
    </w:p>
    <w:p>
      <w:pPr>
        <w:pStyle w:val="0"/>
        <w:ind w:left="241" w:leftChars="100" w:firstLine="0" w:firstLineChars="0"/>
        <w:rPr>
          <w:rFonts w:hint="default"/>
          <w:sz w:val="22"/>
        </w:rPr>
      </w:pPr>
      <w:r>
        <w:rPr>
          <w:rFonts w:hint="eastAsia"/>
          <w:sz w:val="22"/>
        </w:rPr>
        <w:t>前記の者を主任技術者とする工事は、次のとおりです。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3522"/>
        <w:gridCol w:w="2316"/>
        <w:gridCol w:w="2322"/>
      </w:tblGrid>
      <w:tr>
        <w:trPr>
          <w:trHeight w:val="280" w:hRule="atLeast"/>
        </w:trPr>
        <w:tc>
          <w:tcPr>
            <w:tcW w:w="1440" w:type="dxa"/>
            <w:vAlign w:val="center"/>
          </w:tcPr>
          <w:p>
            <w:pPr>
              <w:pStyle w:val="0"/>
              <w:jc w:val="center"/>
              <w:rPr>
                <w:rFonts w:hint="default"/>
                <w:sz w:val="22"/>
              </w:rPr>
            </w:pPr>
            <w:r>
              <w:rPr>
                <w:rFonts w:hint="eastAsia"/>
                <w:sz w:val="22"/>
              </w:rPr>
              <w:t>発注者名</w:t>
            </w:r>
          </w:p>
        </w:tc>
        <w:tc>
          <w:tcPr>
            <w:tcW w:w="3522" w:type="dxa"/>
            <w:vAlign w:val="center"/>
          </w:tcPr>
          <w:p>
            <w:pPr>
              <w:pStyle w:val="0"/>
              <w:jc w:val="center"/>
              <w:rPr>
                <w:rFonts w:hint="default"/>
                <w:sz w:val="22"/>
              </w:rPr>
            </w:pPr>
            <w:r>
              <w:rPr>
                <w:rFonts w:hint="eastAsia"/>
                <w:sz w:val="22"/>
              </w:rPr>
              <w:t>工事名（工事箇所）</w:t>
            </w:r>
          </w:p>
        </w:tc>
        <w:tc>
          <w:tcPr>
            <w:tcW w:w="2316" w:type="dxa"/>
            <w:vAlign w:val="center"/>
          </w:tcPr>
          <w:p>
            <w:pPr>
              <w:pStyle w:val="0"/>
              <w:jc w:val="center"/>
              <w:rPr>
                <w:rFonts w:hint="default"/>
                <w:sz w:val="22"/>
              </w:rPr>
            </w:pPr>
            <w:r>
              <w:rPr>
                <w:rFonts w:hint="eastAsia"/>
                <w:sz w:val="22"/>
              </w:rPr>
              <w:t>請負金額</w:t>
            </w:r>
          </w:p>
        </w:tc>
        <w:tc>
          <w:tcPr>
            <w:tcW w:w="2322" w:type="dxa"/>
            <w:vAlign w:val="center"/>
          </w:tcPr>
          <w:p>
            <w:pPr>
              <w:pStyle w:val="15"/>
              <w:jc w:val="center"/>
              <w:rPr>
                <w:rFonts w:hint="default"/>
                <w:sz w:val="22"/>
              </w:rPr>
            </w:pPr>
            <w:r>
              <w:rPr>
                <w:rFonts w:hint="eastAsia"/>
                <w:sz w:val="22"/>
              </w:rPr>
              <w:t>工　　　期</w:t>
            </w:r>
          </w:p>
        </w:tc>
      </w:tr>
      <w:tr>
        <w:trPr>
          <w:trHeight w:val="885" w:hRule="atLeast"/>
        </w:trPr>
        <w:tc>
          <w:tcPr>
            <w:tcW w:w="1440" w:type="dxa"/>
            <w:vAlign w:val="center"/>
          </w:tcPr>
          <w:p>
            <w:pPr>
              <w:pStyle w:val="0"/>
              <w:jc w:val="left"/>
              <w:rPr>
                <w:rFonts w:hint="default"/>
                <w:sz w:val="21"/>
              </w:rPr>
            </w:pPr>
          </w:p>
        </w:tc>
        <w:tc>
          <w:tcPr>
            <w:tcW w:w="3522" w:type="dxa"/>
            <w:vAlign w:val="center"/>
          </w:tcPr>
          <w:p>
            <w:pPr>
              <w:pStyle w:val="0"/>
              <w:rPr>
                <w:rFonts w:hint="default"/>
                <w:sz w:val="21"/>
              </w:rPr>
            </w:pPr>
          </w:p>
        </w:tc>
        <w:tc>
          <w:tcPr>
            <w:tcW w:w="2316" w:type="dxa"/>
            <w:vAlign w:val="center"/>
          </w:tcPr>
          <w:p>
            <w:pPr>
              <w:pStyle w:val="0"/>
              <w:jc w:val="right"/>
              <w:rPr>
                <w:rFonts w:hint="default"/>
                <w:w w:val="80"/>
                <w:sz w:val="21"/>
              </w:rPr>
            </w:pPr>
          </w:p>
        </w:tc>
        <w:tc>
          <w:tcPr>
            <w:tcW w:w="2322" w:type="dxa"/>
            <w:vAlign w:val="center"/>
          </w:tcPr>
          <w:p>
            <w:pPr>
              <w:pStyle w:val="0"/>
              <w:jc w:val="right"/>
              <w:rPr>
                <w:rFonts w:hint="default"/>
                <w:w w:val="80"/>
                <w:sz w:val="21"/>
              </w:rPr>
            </w:pPr>
          </w:p>
        </w:tc>
      </w:tr>
      <w:tr>
        <w:trPr>
          <w:trHeight w:val="890" w:hRule="atLeast"/>
        </w:trPr>
        <w:tc>
          <w:tcPr>
            <w:tcW w:w="1440" w:type="dxa"/>
            <w:vAlign w:val="center"/>
          </w:tcPr>
          <w:p>
            <w:pPr>
              <w:pStyle w:val="0"/>
              <w:rPr>
                <w:rFonts w:hint="default"/>
                <w:sz w:val="21"/>
              </w:rPr>
            </w:pPr>
          </w:p>
        </w:tc>
        <w:tc>
          <w:tcPr>
            <w:tcW w:w="3522" w:type="dxa"/>
            <w:vAlign w:val="center"/>
          </w:tcPr>
          <w:p>
            <w:pPr>
              <w:pStyle w:val="0"/>
              <w:rPr>
                <w:rFonts w:hint="default"/>
                <w:sz w:val="21"/>
              </w:rPr>
            </w:pPr>
          </w:p>
        </w:tc>
        <w:tc>
          <w:tcPr>
            <w:tcW w:w="2316" w:type="dxa"/>
            <w:vAlign w:val="center"/>
          </w:tcPr>
          <w:p>
            <w:pPr>
              <w:pStyle w:val="0"/>
              <w:jc w:val="right"/>
              <w:rPr>
                <w:rFonts w:hint="default"/>
                <w:w w:val="80"/>
                <w:sz w:val="21"/>
              </w:rPr>
            </w:pPr>
          </w:p>
        </w:tc>
        <w:tc>
          <w:tcPr>
            <w:tcW w:w="2322" w:type="dxa"/>
            <w:vAlign w:val="center"/>
          </w:tcPr>
          <w:p>
            <w:pPr>
              <w:pStyle w:val="0"/>
              <w:jc w:val="center"/>
              <w:rPr>
                <w:rFonts w:hint="default"/>
                <w:w w:val="80"/>
                <w:sz w:val="21"/>
              </w:rPr>
            </w:pPr>
          </w:p>
          <w:p>
            <w:pPr>
              <w:pStyle w:val="0"/>
              <w:jc w:val="center"/>
              <w:rPr>
                <w:rFonts w:hint="default"/>
                <w:w w:val="80"/>
                <w:sz w:val="21"/>
              </w:rPr>
            </w:pPr>
          </w:p>
        </w:tc>
      </w:tr>
      <w:tr>
        <w:trPr>
          <w:trHeight w:val="860" w:hRule="atLeast"/>
        </w:trPr>
        <w:tc>
          <w:tcPr>
            <w:tcW w:w="1440" w:type="dxa"/>
            <w:vAlign w:val="center"/>
          </w:tcPr>
          <w:p>
            <w:pPr>
              <w:pStyle w:val="0"/>
              <w:rPr>
                <w:rFonts w:hint="eastAsia"/>
                <w:sz w:val="22"/>
              </w:rPr>
            </w:pPr>
          </w:p>
        </w:tc>
        <w:tc>
          <w:tcPr>
            <w:tcW w:w="3522" w:type="dxa"/>
            <w:vAlign w:val="center"/>
          </w:tcPr>
          <w:p>
            <w:pPr>
              <w:pStyle w:val="0"/>
              <w:rPr>
                <w:rFonts w:hint="eastAsia"/>
                <w:sz w:val="22"/>
              </w:rPr>
            </w:pPr>
          </w:p>
        </w:tc>
        <w:tc>
          <w:tcPr>
            <w:tcW w:w="2316" w:type="dxa"/>
            <w:vAlign w:val="center"/>
          </w:tcPr>
          <w:p>
            <w:pPr>
              <w:pStyle w:val="0"/>
              <w:rPr>
                <w:rFonts w:hint="eastAsia"/>
                <w:sz w:val="22"/>
              </w:rPr>
            </w:pPr>
          </w:p>
        </w:tc>
        <w:tc>
          <w:tcPr>
            <w:tcW w:w="2322" w:type="dxa"/>
            <w:vAlign w:val="center"/>
          </w:tcPr>
          <w:p>
            <w:pPr>
              <w:pStyle w:val="0"/>
              <w:rPr>
                <w:rFonts w:hint="eastAsia"/>
                <w:sz w:val="22"/>
              </w:rPr>
            </w:pPr>
          </w:p>
        </w:tc>
      </w:tr>
    </w:tbl>
    <w:p>
      <w:pPr>
        <w:pStyle w:val="0"/>
        <w:rPr>
          <w:rFonts w:hint="default"/>
          <w:sz w:val="22"/>
        </w:rPr>
      </w:pPr>
    </w:p>
    <w:p>
      <w:pPr>
        <w:pStyle w:val="0"/>
        <w:rPr>
          <w:rFonts w:hint="default"/>
          <w:color w:val="auto"/>
          <w:sz w:val="18"/>
          <w:vertAlign w:val="superscript"/>
        </w:rPr>
      </w:pPr>
      <w:r>
        <w:rPr>
          <w:rFonts w:hint="eastAsia"/>
          <w:sz w:val="18"/>
          <w:vertAlign w:val="superscript"/>
        </w:rPr>
        <w:t>※</w:t>
      </w:r>
      <w:r>
        <w:rPr>
          <w:rFonts w:hint="eastAsia"/>
          <w:sz w:val="18"/>
          <w:vertAlign w:val="superscript"/>
        </w:rPr>
        <w:t>1</w:t>
      </w:r>
      <w:r>
        <w:rPr>
          <w:rFonts w:hint="eastAsia"/>
          <w:sz w:val="18"/>
        </w:rPr>
        <w:t>の《　》部分</w:t>
      </w:r>
      <w:r>
        <w:rPr>
          <w:rFonts w:hint="eastAsia"/>
          <w:color w:val="auto"/>
          <w:sz w:val="18"/>
        </w:rPr>
        <w:t>には配置技術者の氏名を記入してください。</w:t>
      </w:r>
    </w:p>
    <w:p>
      <w:pPr>
        <w:pStyle w:val="0"/>
        <w:rPr>
          <w:rFonts w:hint="default"/>
          <w:color w:val="auto"/>
          <w:sz w:val="18"/>
          <w:vertAlign w:val="superscript"/>
        </w:rPr>
      </w:pPr>
      <w:r>
        <w:rPr>
          <w:rFonts w:hint="eastAsia"/>
          <w:color w:val="auto"/>
          <w:sz w:val="18"/>
          <w:vertAlign w:val="superscript"/>
        </w:rPr>
        <w:t>※２</w:t>
      </w:r>
      <w:r>
        <w:rPr>
          <w:rFonts w:hint="eastAsia"/>
          <w:color w:val="auto"/>
          <w:sz w:val="18"/>
        </w:rPr>
        <w:t>建築一式工事に限り、</w:t>
      </w:r>
      <w:r>
        <w:rPr>
          <w:rFonts w:hint="eastAsia"/>
          <w:color w:val="auto"/>
          <w:sz w:val="18"/>
        </w:rPr>
        <w:t>4,500</w:t>
      </w:r>
      <w:r>
        <w:rPr>
          <w:rFonts w:hint="eastAsia"/>
          <w:color w:val="auto"/>
          <w:sz w:val="18"/>
        </w:rPr>
        <w:t>万円→</w:t>
      </w:r>
      <w:r>
        <w:rPr>
          <w:rFonts w:hint="eastAsia"/>
          <w:color w:val="auto"/>
          <w:sz w:val="18"/>
        </w:rPr>
        <w:t>9,000</w:t>
      </w:r>
      <w:r>
        <w:rPr>
          <w:rFonts w:hint="eastAsia"/>
          <w:color w:val="auto"/>
          <w:sz w:val="18"/>
        </w:rPr>
        <w:t>万円、１億円→２億円と読み替えてください。</w:t>
      </w:r>
    </w:p>
    <w:p>
      <w:pPr>
        <w:pStyle w:val="0"/>
        <w:rPr>
          <w:rFonts w:hint="default"/>
          <w:sz w:val="24"/>
          <w:vertAlign w:val="superscript"/>
        </w:rPr>
      </w:pPr>
      <w:r>
        <w:rPr>
          <w:rFonts w:hint="eastAsia"/>
          <w:color w:val="auto"/>
          <w:sz w:val="18"/>
          <w:vertAlign w:val="superscript"/>
        </w:rPr>
        <w:t>※３</w:t>
      </w:r>
      <w:r>
        <w:rPr>
          <w:rFonts w:hint="eastAsia"/>
          <w:color w:val="auto"/>
          <w:sz w:val="18"/>
        </w:rPr>
        <w:t>省令１７条の２又は１７条の５に基づく人員の配置を示す計画書を誓</w:t>
      </w:r>
      <w:bookmarkStart w:id="0" w:name="_GoBack"/>
      <w:bookmarkEnd w:id="0"/>
      <w:r>
        <w:rPr>
          <w:rFonts w:hint="eastAsia"/>
          <w:sz w:val="18"/>
        </w:rPr>
        <w:t>約書とあわせて提出してください。</w:t>
      </w:r>
    </w:p>
    <w:sectPr>
      <w:pgSz w:w="11906" w:h="16838"/>
      <w:pgMar w:top="1134" w:right="1134" w:bottom="1134" w:left="1134" w:header="851" w:footer="992" w:gutter="0"/>
      <w:cols w:space="720"/>
      <w:textDirection w:val="lrTb"/>
      <w:docGrid w:type="linesAndChars" w:linePitch="360"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w:basedOn w:val="0"/>
    <w:next w:val="16"/>
    <w:link w:val="0"/>
    <w:uiPriority w:val="0"/>
    <w:pPr>
      <w:spacing w:line="240" w:lineRule="exact"/>
    </w:pPr>
    <w:rPr>
      <w:rFonts w:eastAsia="HG丸ｺﾞｼｯｸM-PRO"/>
      <w:sz w:val="2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Pages>
  <Words>11</Words>
  <Characters>705</Characters>
  <Application>JUST Note</Application>
  <Lines>49</Lines>
  <Paragraphs>30</Paragraphs>
  <CharactersWithSpaces>792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2023-08-18T02:03:00Z</dcterms:created>
  <dcterms:modified xsi:type="dcterms:W3CDTF">2025-01-21T06:20:24Z</dcterms:modified>
  <cp:revision>7</cp:revision>
</cp:coreProperties>
</file>